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2146A0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</w:rPr>
              <w:t>ЗАТВЕРДЖЕНО»</w:t>
            </w: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11654A" w:rsidRDefault="0011654A" w:rsidP="0011654A">
            <w:pPr>
              <w:spacing w:line="276" w:lineRule="auto"/>
              <w:ind w:left="34"/>
              <w:jc w:val="center"/>
            </w:pPr>
            <w:r>
              <w:t>Кравець В.В. ________</w:t>
            </w:r>
          </w:p>
          <w:p w:rsidR="00680664" w:rsidRPr="002E652D" w:rsidRDefault="0011654A" w:rsidP="00241B33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</w:t>
            </w:r>
            <w:r w:rsidR="00241B33">
              <w:rPr>
                <w:lang w:val="ru-RU"/>
              </w:rPr>
              <w:t xml:space="preserve">   </w:t>
            </w:r>
            <w:r w:rsidRPr="006E5ACF">
              <w:t>»</w:t>
            </w:r>
            <w:r>
              <w:t xml:space="preserve"> </w:t>
            </w:r>
            <w:r w:rsidR="00651E6D">
              <w:t xml:space="preserve">серпня </w:t>
            </w:r>
            <w:r>
              <w:t>/</w:t>
            </w:r>
            <w:r w:rsidRPr="006E5ACF">
              <w:t>20</w:t>
            </w:r>
            <w:r w:rsidR="00651E6D">
              <w:t>1</w:t>
            </w:r>
            <w:r w:rsidR="00241B33">
              <w:rPr>
                <w:lang w:val="ru-RU"/>
              </w:rPr>
              <w:t>9</w:t>
            </w:r>
            <w:r w:rsidRPr="006E5ACF">
              <w:t>року</w:t>
            </w:r>
          </w:p>
        </w:tc>
      </w:tr>
    </w:tbl>
    <w:p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651E6D">
        <w:rPr>
          <w:sz w:val="28"/>
          <w:szCs w:val="28"/>
        </w:rPr>
        <w:t>Автомобілі</w:t>
      </w:r>
      <w:r w:rsidRPr="006E5ACF">
        <w:rPr>
          <w:b w:val="0"/>
          <w:sz w:val="28"/>
          <w:szCs w:val="28"/>
        </w:rPr>
        <w:t>»</w:t>
      </w:r>
    </w:p>
    <w:p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16396">
            <w:r w:rsidRPr="00B92F53">
              <w:t>вибіркова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51E6D" w:rsidP="00A63728">
            <w:r>
              <w:t>10</w:t>
            </w:r>
            <w:r w:rsidR="00680664" w:rsidRPr="00B92F53">
              <w:t xml:space="preserve"> кредитів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>
              <w:t>30</w:t>
            </w:r>
            <w:r w:rsidR="00AA204B">
              <w:t>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4762A7"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51E6D" w:rsidP="004762A7">
            <w:r>
              <w:t>6,7 та 8</w:t>
            </w:r>
            <w:r w:rsidR="00680664" w:rsidRPr="00B92F53">
              <w:t>-й семестр</w:t>
            </w:r>
            <w:r>
              <w:t>и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52662F">
            <w:r w:rsidRPr="00B92F53">
              <w:t>українська</w:t>
            </w:r>
          </w:p>
        </w:tc>
      </w:tr>
    </w:tbl>
    <w:p w:rsidR="00680664" w:rsidRPr="006E5ACF" w:rsidRDefault="00680664" w:rsidP="00C323D7">
      <w:pPr>
        <w:spacing w:before="80"/>
      </w:pPr>
    </w:p>
    <w:p w:rsidR="00680664" w:rsidRPr="006E5ACF" w:rsidRDefault="00680664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51E6D">
        <w:t>професор, к.т.н.</w:t>
      </w:r>
      <w:r w:rsidR="002A7741">
        <w:t xml:space="preserve"> </w:t>
      </w:r>
      <w:r w:rsidR="00651E6D">
        <w:t>Бас К.М</w:t>
      </w:r>
      <w:r w:rsidR="002A7741">
        <w:t xml:space="preserve">., </w:t>
      </w:r>
      <w:r w:rsidR="00651E6D">
        <w:t>доцент, к.т.н.</w:t>
      </w:r>
      <w:r w:rsidR="002A7741">
        <w:t xml:space="preserve">. </w:t>
      </w:r>
      <w:r w:rsidR="00651E6D">
        <w:t>Федоскін В.О.</w:t>
      </w:r>
      <w:r w:rsidRPr="006E5ACF">
        <w:t xml:space="preserve"> </w:t>
      </w:r>
    </w:p>
    <w:p w:rsidR="00680664" w:rsidRPr="006E5ACF" w:rsidRDefault="00680664" w:rsidP="00C323D7">
      <w:pPr>
        <w:jc w:val="center"/>
        <w:rPr>
          <w:i/>
          <w:sz w:val="16"/>
          <w:szCs w:val="16"/>
        </w:rPr>
      </w:pP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1654A">
        <w:rPr>
          <w:bCs/>
          <w:sz w:val="28"/>
          <w:szCs w:val="28"/>
        </w:rPr>
        <w:t>1</w:t>
      </w:r>
      <w:r w:rsidR="00241B33">
        <w:rPr>
          <w:bCs/>
          <w:sz w:val="28"/>
          <w:szCs w:val="28"/>
          <w:lang w:val="ru-RU"/>
        </w:rPr>
        <w:t>9</w:t>
      </w:r>
      <w:r w:rsidR="0011654A">
        <w:rPr>
          <w:bCs/>
          <w:sz w:val="28"/>
          <w:szCs w:val="28"/>
        </w:rPr>
        <w:t xml:space="preserve"> р.</w:t>
      </w:r>
    </w:p>
    <w:p w:rsidR="00680664" w:rsidRPr="006E5ACF" w:rsidRDefault="00680664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9D3B68">
        <w:rPr>
          <w:sz w:val="28"/>
          <w:szCs w:val="28"/>
        </w:rPr>
        <w:t>Автомобілі</w:t>
      </w:r>
      <w:r w:rsidRPr="00D857BB">
        <w:rPr>
          <w:b w:val="0"/>
          <w:sz w:val="28"/>
          <w:szCs w:val="28"/>
        </w:rPr>
        <w:t xml:space="preserve">» 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2A7741">
        <w:rPr>
          <w:b w:val="0"/>
          <w:iCs/>
          <w:sz w:val="28"/>
          <w:szCs w:val="28"/>
        </w:rPr>
        <w:t>Автомобілів та автомобільного господарства</w:t>
      </w:r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9D3B68">
        <w:rPr>
          <w:b w:val="0"/>
          <w:sz w:val="28"/>
          <w:szCs w:val="28"/>
        </w:rPr>
        <w:t>8</w:t>
      </w:r>
      <w:r w:rsidRPr="00D857BB">
        <w:rPr>
          <w:b w:val="0"/>
          <w:sz w:val="28"/>
          <w:szCs w:val="28"/>
        </w:rPr>
        <w:t>. – 1</w:t>
      </w:r>
      <w:r w:rsidR="00241B33">
        <w:rPr>
          <w:b w:val="0"/>
          <w:sz w:val="28"/>
          <w:szCs w:val="28"/>
          <w:lang w:val="ru-RU"/>
        </w:rPr>
        <w:t>4</w:t>
      </w:r>
      <w:r w:rsidRPr="00D857BB">
        <w:rPr>
          <w:b w:val="0"/>
          <w:sz w:val="28"/>
          <w:szCs w:val="28"/>
        </w:rPr>
        <w:t xml:space="preserve"> с.</w:t>
      </w:r>
    </w:p>
    <w:p w:rsidR="00680664" w:rsidRPr="00225B42" w:rsidRDefault="0068066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9D3B68">
        <w:rPr>
          <w:sz w:val="28"/>
          <w:szCs w:val="28"/>
        </w:rPr>
        <w:t>Бас К.М.</w:t>
      </w:r>
    </w:p>
    <w:p w:rsidR="00680664" w:rsidRPr="004446AF" w:rsidRDefault="00680664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680664" w:rsidRPr="00225B42" w:rsidRDefault="00680664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680664" w:rsidRPr="006E5ACF" w:rsidRDefault="00680664" w:rsidP="00C41E4D">
      <w:pPr>
        <w:ind w:firstLine="567"/>
        <w:jc w:val="both"/>
        <w:rPr>
          <w:sz w:val="28"/>
          <w:szCs w:val="28"/>
        </w:rPr>
      </w:pPr>
    </w:p>
    <w:p w:rsidR="00680664" w:rsidRPr="006E5ACF" w:rsidRDefault="00680664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7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13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0338D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13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680664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680664" w:rsidRPr="006E5ACF" w:rsidRDefault="00680664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bookmarkStart w:id="2" w:name="_Hlk497473763"/>
            <w:r w:rsidRPr="00D42CF5">
              <w:t>ЗК</w:t>
            </w:r>
            <w:r>
              <w:t>6</w:t>
            </w:r>
          </w:p>
        </w:tc>
        <w:tc>
          <w:tcPr>
            <w:tcW w:w="4503" w:type="pct"/>
          </w:tcPr>
          <w:p w:rsidR="0001500E" w:rsidRPr="001F4BD7" w:rsidRDefault="0001500E" w:rsidP="0001500E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ідентифікувати майбутню професійну діяльність як соціально значущу для ефективного розвитку країни</w:t>
            </w:r>
          </w:p>
        </w:tc>
      </w:tr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r w:rsidRPr="00D42CF5">
              <w:t>ЗК</w:t>
            </w:r>
            <w:r>
              <w:t>9</w:t>
            </w:r>
          </w:p>
        </w:tc>
        <w:tc>
          <w:tcPr>
            <w:tcW w:w="4503" w:type="pct"/>
          </w:tcPr>
          <w:p w:rsidR="0001500E" w:rsidRPr="001F4BD7" w:rsidRDefault="0001500E" w:rsidP="0001500E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спілкуватися державною мовою як усно, так і письмово </w:t>
            </w:r>
          </w:p>
        </w:tc>
      </w:tr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pPr>
              <w:rPr>
                <w:shd w:val="clear" w:color="auto" w:fill="FFFFFF"/>
              </w:rPr>
            </w:pPr>
            <w:r w:rsidRPr="00D42CF5">
              <w:rPr>
                <w:shd w:val="clear" w:color="auto" w:fill="FFFFFF"/>
              </w:rPr>
              <w:t>СК</w:t>
            </w:r>
            <w:r>
              <w:rPr>
                <w:shd w:val="clear" w:color="auto" w:fill="FFFFFF"/>
              </w:rPr>
              <w:t>13</w:t>
            </w:r>
          </w:p>
        </w:tc>
        <w:tc>
          <w:tcPr>
            <w:tcW w:w="4503" w:type="pct"/>
          </w:tcPr>
          <w:p w:rsidR="0001500E" w:rsidRPr="001878CD" w:rsidRDefault="0001500E" w:rsidP="0001500E">
            <w:pPr>
              <w:jc w:val="both"/>
              <w:rPr>
                <w:color w:val="000000"/>
              </w:rPr>
            </w:pPr>
            <w:r w:rsidRPr="001878CD">
              <w:rPr>
                <w:color w:val="000000"/>
              </w:rPr>
              <w:t xml:space="preserve">Здатність аналізувати техніко-економічні та експлуатаційні показники об’єктів </w:t>
            </w:r>
            <w:r>
              <w:rPr>
                <w:color w:val="000000"/>
              </w:rPr>
              <w:t>автомобільного</w:t>
            </w:r>
            <w:r w:rsidRPr="001878CD">
              <w:rPr>
                <w:color w:val="000000"/>
              </w:rPr>
              <w:t xml:space="preserve"> транспорту, їх систем та елементів з метою виявлення та усунення негативних чинників та підвищення ефективності виробничого процесу</w:t>
            </w:r>
          </w:p>
        </w:tc>
      </w:tr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4503" w:type="pct"/>
          </w:tcPr>
          <w:p w:rsidR="0001500E" w:rsidRPr="00EA37FF" w:rsidRDefault="0001500E" w:rsidP="000150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розбиратися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4503" w:type="pct"/>
          </w:tcPr>
          <w:p w:rsidR="0001500E" w:rsidRPr="006212A6" w:rsidRDefault="0001500E" w:rsidP="000150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212A6">
              <w:rPr>
                <w:color w:val="000000"/>
                <w:shd w:val="clear" w:color="auto" w:fill="FFFFFF"/>
              </w:rPr>
              <w:t>Здатність аналізувати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4503" w:type="pct"/>
          </w:tcPr>
          <w:p w:rsidR="0001500E" w:rsidRPr="006212A6" w:rsidRDefault="0001500E" w:rsidP="000150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212A6">
              <w:rPr>
                <w:color w:val="000000"/>
                <w:shd w:val="clear" w:color="auto" w:fill="FFFFFF"/>
              </w:rPr>
              <w:t>Здатність прогнозувати розвиток конструкцій вузлів та агрегатів автотранспортних засобів, використовуючи набутті знання, фахову літературу та аналізуючи дані</w:t>
            </w:r>
          </w:p>
        </w:tc>
      </w:tr>
    </w:tbl>
    <w:bookmarkEnd w:id="2"/>
    <w:p w:rsidR="00680664" w:rsidRPr="006E5ACF" w:rsidRDefault="00680664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</w:t>
      </w:r>
      <w:r w:rsidR="00392811">
        <w:rPr>
          <w:sz w:val="28"/>
          <w:szCs w:val="28"/>
          <w:lang w:eastAsia="uk-UA"/>
        </w:rPr>
        <w:t xml:space="preserve"> Ф</w:t>
      </w:r>
      <w:r w:rsidR="009137D6" w:rsidRPr="009137D6">
        <w:rPr>
          <w:sz w:val="28"/>
          <w:szCs w:val="28"/>
        </w:rPr>
        <w:t>ормування у студентів уявлення про</w:t>
      </w:r>
      <w:r w:rsidR="007B7068">
        <w:rPr>
          <w:sz w:val="28"/>
          <w:szCs w:val="28"/>
        </w:rPr>
        <w:t xml:space="preserve"> автомобіль як інженерну конструкцію,</w:t>
      </w:r>
      <w:r w:rsidR="009137D6" w:rsidRPr="009137D6">
        <w:rPr>
          <w:sz w:val="28"/>
          <w:szCs w:val="28"/>
        </w:rPr>
        <w:t xml:space="preserve"> </w:t>
      </w:r>
      <w:r w:rsidR="00392811">
        <w:rPr>
          <w:sz w:val="28"/>
          <w:szCs w:val="28"/>
        </w:rPr>
        <w:t>будову та принципи дії його вузлів та агрегатів</w:t>
      </w:r>
      <w:r w:rsidR="009137D6" w:rsidRPr="009137D6">
        <w:rPr>
          <w:sz w:val="28"/>
          <w:szCs w:val="28"/>
        </w:rPr>
        <w:t>.</w:t>
      </w:r>
    </w:p>
    <w:p w:rsidR="00680664" w:rsidRPr="006E5ACF" w:rsidRDefault="00680664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34664486"/>
      <w:bookmarkStart w:id="4" w:name="_Hlk497602021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7B7068">
        <w:trPr>
          <w:tblHeader/>
        </w:trPr>
        <w:tc>
          <w:tcPr>
            <w:tcW w:w="497" w:type="pct"/>
            <w:vMerge w:val="restart"/>
            <w:vAlign w:val="center"/>
          </w:tcPr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3" w:type="pct"/>
            <w:gridSpan w:val="2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7B7068">
        <w:trPr>
          <w:tblHeader/>
        </w:trPr>
        <w:tc>
          <w:tcPr>
            <w:tcW w:w="497" w:type="pct"/>
            <w:vMerge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5" w:type="pct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7B7068" w:rsidRPr="00E31962" w:rsidTr="007B7068">
        <w:trPr>
          <w:trHeight w:val="423"/>
        </w:trPr>
        <w:tc>
          <w:tcPr>
            <w:tcW w:w="497" w:type="pct"/>
          </w:tcPr>
          <w:p w:rsidR="007B7068" w:rsidRPr="00D42CF5" w:rsidRDefault="007B7068" w:rsidP="007B7068">
            <w:bookmarkStart w:id="5" w:name="_Hlk498188405"/>
            <w:r w:rsidRPr="00D42CF5">
              <w:t>ЗК</w:t>
            </w:r>
            <w:r>
              <w:t>6</w:t>
            </w:r>
          </w:p>
        </w:tc>
        <w:tc>
          <w:tcPr>
            <w:tcW w:w="768" w:type="pct"/>
          </w:tcPr>
          <w:p w:rsidR="007B7068" w:rsidRPr="00D42CF5" w:rsidRDefault="007B7068" w:rsidP="007B7068">
            <w:r w:rsidRPr="00D42CF5">
              <w:t>ЗК</w:t>
            </w:r>
            <w:r>
              <w:t>6</w:t>
            </w:r>
          </w:p>
        </w:tc>
        <w:tc>
          <w:tcPr>
            <w:tcW w:w="3735" w:type="pct"/>
          </w:tcPr>
          <w:p w:rsidR="007B7068" w:rsidRPr="00EA37FF" w:rsidRDefault="007B7068" w:rsidP="007B70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І</w:t>
            </w:r>
            <w:r w:rsidRPr="001F4BD7">
              <w:rPr>
                <w:color w:val="000000"/>
              </w:rPr>
              <w:t>дентифікувати майбутню професійну діяльність як соціально значущу для ефективного розвитку країни</w:t>
            </w:r>
          </w:p>
        </w:tc>
      </w:tr>
      <w:tr w:rsidR="007B7068" w:rsidRPr="00E31962" w:rsidTr="007B7068">
        <w:tc>
          <w:tcPr>
            <w:tcW w:w="497" w:type="pct"/>
          </w:tcPr>
          <w:p w:rsidR="007B7068" w:rsidRPr="00D42CF5" w:rsidRDefault="007B7068" w:rsidP="007B7068">
            <w:r w:rsidRPr="00D42CF5">
              <w:t>ЗК</w:t>
            </w:r>
            <w:r>
              <w:t>9</w:t>
            </w:r>
          </w:p>
        </w:tc>
        <w:tc>
          <w:tcPr>
            <w:tcW w:w="768" w:type="pct"/>
          </w:tcPr>
          <w:p w:rsidR="007B7068" w:rsidRPr="00D42CF5" w:rsidRDefault="007B7068" w:rsidP="007B7068">
            <w:r w:rsidRPr="00D42CF5">
              <w:t>ЗК</w:t>
            </w:r>
            <w:r>
              <w:t>9</w:t>
            </w:r>
          </w:p>
        </w:tc>
        <w:tc>
          <w:tcPr>
            <w:tcW w:w="3735" w:type="pct"/>
          </w:tcPr>
          <w:p w:rsidR="007B7068" w:rsidRPr="001F4BD7" w:rsidRDefault="007B7068" w:rsidP="007B7068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пілкуватися державною мовою як усно, так і письмово </w:t>
            </w:r>
          </w:p>
        </w:tc>
      </w:tr>
      <w:tr w:rsidR="00A2296B" w:rsidRPr="00E31962" w:rsidTr="007B7068">
        <w:tc>
          <w:tcPr>
            <w:tcW w:w="497" w:type="pct"/>
          </w:tcPr>
          <w:p w:rsidR="00A2296B" w:rsidRPr="00D42CF5" w:rsidRDefault="00A2296B" w:rsidP="00A2296B">
            <w:pPr>
              <w:rPr>
                <w:shd w:val="clear" w:color="auto" w:fill="FFFFFF"/>
              </w:rPr>
            </w:pPr>
            <w:r w:rsidRPr="00D42CF5">
              <w:rPr>
                <w:shd w:val="clear" w:color="auto" w:fill="FFFFFF"/>
              </w:rPr>
              <w:t>СК</w:t>
            </w:r>
            <w:r>
              <w:rPr>
                <w:shd w:val="clear" w:color="auto" w:fill="FFFFFF"/>
              </w:rPr>
              <w:t>13</w:t>
            </w:r>
          </w:p>
        </w:tc>
        <w:tc>
          <w:tcPr>
            <w:tcW w:w="768" w:type="pct"/>
          </w:tcPr>
          <w:p w:rsidR="00A2296B" w:rsidRPr="00D42CF5" w:rsidRDefault="00A2296B" w:rsidP="00A2296B">
            <w:pPr>
              <w:rPr>
                <w:shd w:val="clear" w:color="auto" w:fill="FFFFFF"/>
              </w:rPr>
            </w:pPr>
            <w:r w:rsidRPr="00D42CF5">
              <w:rPr>
                <w:shd w:val="clear" w:color="auto" w:fill="FFFFFF"/>
              </w:rPr>
              <w:t>СК</w:t>
            </w:r>
            <w:r>
              <w:rPr>
                <w:shd w:val="clear" w:color="auto" w:fill="FFFFFF"/>
              </w:rPr>
              <w:t>13</w:t>
            </w:r>
          </w:p>
        </w:tc>
        <w:tc>
          <w:tcPr>
            <w:tcW w:w="3735" w:type="pct"/>
          </w:tcPr>
          <w:p w:rsidR="00A2296B" w:rsidRPr="001F4BD7" w:rsidRDefault="00A2296B" w:rsidP="00A2296B">
            <w:pPr>
              <w:jc w:val="both"/>
            </w:pPr>
            <w:r>
              <w:rPr>
                <w:color w:val="000000"/>
              </w:rPr>
              <w:t>З</w:t>
            </w:r>
            <w:r w:rsidRPr="001F4BD7">
              <w:t>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</w:t>
            </w:r>
          </w:p>
        </w:tc>
      </w:tr>
      <w:tr w:rsidR="007B7068" w:rsidRPr="00E31962" w:rsidTr="007B7068">
        <w:tc>
          <w:tcPr>
            <w:tcW w:w="497" w:type="pct"/>
          </w:tcPr>
          <w:p w:rsidR="007B7068" w:rsidRPr="00D42CF5" w:rsidRDefault="007B7068" w:rsidP="007B7068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768" w:type="pct"/>
          </w:tcPr>
          <w:p w:rsidR="007B7068" w:rsidRPr="00D42CF5" w:rsidRDefault="007B7068" w:rsidP="007B7068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3735" w:type="pct"/>
          </w:tcPr>
          <w:p w:rsidR="007B7068" w:rsidRPr="00EA37FF" w:rsidRDefault="00A2296B" w:rsidP="007B70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EA37FF">
              <w:rPr>
                <w:color w:val="000000"/>
                <w:shd w:val="clear" w:color="auto" w:fill="FFFFFF"/>
              </w:rPr>
              <w:t>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  <w:tr w:rsidR="00A2296B" w:rsidRPr="00E31962" w:rsidTr="007B7068">
        <w:tc>
          <w:tcPr>
            <w:tcW w:w="497" w:type="pct"/>
          </w:tcPr>
          <w:p w:rsidR="00A2296B" w:rsidRPr="00D42CF5" w:rsidRDefault="00A2296B" w:rsidP="00A2296B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768" w:type="pct"/>
          </w:tcPr>
          <w:p w:rsidR="00A2296B" w:rsidRPr="00D42CF5" w:rsidRDefault="00A2296B" w:rsidP="00A2296B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3735" w:type="pct"/>
          </w:tcPr>
          <w:p w:rsidR="00A2296B" w:rsidRPr="006212A6" w:rsidRDefault="00A2296B" w:rsidP="00A229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7B7068" w:rsidRPr="00E31962" w:rsidTr="007B7068">
        <w:tc>
          <w:tcPr>
            <w:tcW w:w="497" w:type="pct"/>
          </w:tcPr>
          <w:p w:rsidR="007B7068" w:rsidRPr="00D42CF5" w:rsidRDefault="007B7068" w:rsidP="007B7068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768" w:type="pct"/>
          </w:tcPr>
          <w:p w:rsidR="007B7068" w:rsidRPr="00D42CF5" w:rsidRDefault="007B7068" w:rsidP="007B7068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3735" w:type="pct"/>
          </w:tcPr>
          <w:p w:rsidR="007B7068" w:rsidRPr="00EA37FF" w:rsidRDefault="00A2296B" w:rsidP="007B70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EA37FF">
              <w:rPr>
                <w:color w:val="000000"/>
                <w:shd w:val="clear" w:color="auto" w:fill="FFFFFF"/>
              </w:rPr>
              <w:t>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</w:tbl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34664487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118C7">
        <w:rPr>
          <w:rFonts w:ascii="Times New Roman" w:hAnsi="Times New Roman"/>
          <w:b/>
          <w:bCs/>
          <w:color w:val="000000"/>
          <w:sz w:val="28"/>
          <w:szCs w:val="28"/>
        </w:rPr>
        <w:t>БАЗОВА</w:t>
      </w:r>
      <w:r w:rsidR="003118C7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ДИСЦИПЛІН</w:t>
      </w:r>
      <w:bookmarkEnd w:id="6"/>
      <w:r w:rsidR="002B259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680664" w:rsidRPr="00E31962" w:rsidTr="00B01134">
        <w:trPr>
          <w:tblHeader/>
        </w:trPr>
        <w:tc>
          <w:tcPr>
            <w:tcW w:w="1837" w:type="pct"/>
            <w:vAlign w:val="center"/>
          </w:tcPr>
          <w:p w:rsidR="00680664" w:rsidRPr="00E31962" w:rsidRDefault="00680664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680664" w:rsidRPr="00E31962" w:rsidRDefault="00680664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2296B" w:rsidRPr="00E31962" w:rsidTr="002B259E">
        <w:trPr>
          <w:trHeight w:val="1180"/>
        </w:trPr>
        <w:tc>
          <w:tcPr>
            <w:tcW w:w="1837" w:type="pct"/>
          </w:tcPr>
          <w:p w:rsidR="00A2296B" w:rsidRPr="00D42CF5" w:rsidRDefault="0080747B" w:rsidP="00A2296B">
            <w:r w:rsidRPr="00D42CF5">
              <w:rPr>
                <w:color w:val="000000"/>
              </w:rPr>
              <w:t>З1</w:t>
            </w:r>
            <w:r w:rsidR="00A2296B">
              <w:t xml:space="preserve"> </w:t>
            </w:r>
            <w:r w:rsidR="00A2296B" w:rsidRPr="00A66123">
              <w:rPr>
                <w:lang w:eastAsia="uk-UA"/>
              </w:rPr>
              <w:t>Українська мова</w:t>
            </w:r>
          </w:p>
        </w:tc>
        <w:tc>
          <w:tcPr>
            <w:tcW w:w="3163" w:type="pct"/>
          </w:tcPr>
          <w:p w:rsidR="00A2296B" w:rsidRPr="001F4BD7" w:rsidRDefault="00A2296B" w:rsidP="00A2296B">
            <w:pPr>
              <w:ind w:left="85"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с</w:t>
            </w:r>
            <w:r w:rsidRPr="001F4BD7">
              <w:rPr>
                <w:color w:val="000000"/>
              </w:rPr>
              <w:t xml:space="preserve">пілкуватися державною мовою як усно, так і письмово </w:t>
            </w:r>
          </w:p>
        </w:tc>
      </w:tr>
      <w:tr w:rsidR="00FF22A2" w:rsidRPr="00E31962" w:rsidTr="002B259E">
        <w:trPr>
          <w:trHeight w:val="1180"/>
        </w:trPr>
        <w:tc>
          <w:tcPr>
            <w:tcW w:w="1837" w:type="pct"/>
          </w:tcPr>
          <w:p w:rsidR="00FF22A2" w:rsidRDefault="0080747B" w:rsidP="00FF22A2">
            <w:pPr>
              <w:rPr>
                <w:shd w:val="clear" w:color="auto" w:fill="FFFFFF"/>
              </w:rPr>
            </w:pPr>
            <w:r w:rsidRPr="00D42CF5">
              <w:rPr>
                <w:color w:val="000000"/>
              </w:rPr>
              <w:t>Ф2</w:t>
            </w:r>
            <w:r w:rsidR="00FF22A2">
              <w:rPr>
                <w:shd w:val="clear" w:color="auto" w:fill="FFFFFF"/>
              </w:rPr>
              <w:t xml:space="preserve"> Фізика</w:t>
            </w:r>
          </w:p>
        </w:tc>
        <w:tc>
          <w:tcPr>
            <w:tcW w:w="3163" w:type="pct"/>
          </w:tcPr>
          <w:p w:rsidR="00FF22A2" w:rsidRDefault="00FF22A2" w:rsidP="00FF22A2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41A0A">
              <w:rPr>
                <w:color w:val="000000"/>
              </w:rPr>
              <w:t>астосовувати знання з фундаментальних наук для вивчення професійно-орієнтованих дисциплін</w:t>
            </w:r>
          </w:p>
        </w:tc>
      </w:tr>
      <w:tr w:rsidR="00FF22A2" w:rsidRPr="00E31962" w:rsidTr="002B259E">
        <w:trPr>
          <w:trHeight w:val="1180"/>
        </w:trPr>
        <w:tc>
          <w:tcPr>
            <w:tcW w:w="1837" w:type="pct"/>
          </w:tcPr>
          <w:p w:rsidR="00FF22A2" w:rsidRDefault="0080747B" w:rsidP="00FF22A2">
            <w:pPr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</w:rPr>
              <w:t>Ф1</w:t>
            </w:r>
            <w:r w:rsidR="00FF22A2">
              <w:rPr>
                <w:shd w:val="clear" w:color="auto" w:fill="FFFFFF"/>
              </w:rPr>
              <w:t xml:space="preserve"> Вступ до фаху</w:t>
            </w:r>
          </w:p>
        </w:tc>
        <w:tc>
          <w:tcPr>
            <w:tcW w:w="3163" w:type="pct"/>
          </w:tcPr>
          <w:p w:rsidR="00FF22A2" w:rsidRPr="00A3291E" w:rsidRDefault="00FF22A2" w:rsidP="00FF22A2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Вміння з</w:t>
            </w:r>
            <w:r w:rsidRPr="00641A0A">
              <w:rPr>
                <w:color w:val="000000"/>
              </w:rPr>
              <w:t>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</w:t>
            </w:r>
          </w:p>
        </w:tc>
      </w:tr>
      <w:tr w:rsidR="00FF22A2" w:rsidRPr="00E31962" w:rsidTr="002B259E">
        <w:trPr>
          <w:trHeight w:val="1180"/>
        </w:trPr>
        <w:tc>
          <w:tcPr>
            <w:tcW w:w="1837" w:type="pct"/>
          </w:tcPr>
          <w:p w:rsidR="00FF22A2" w:rsidRPr="00D42CF5" w:rsidRDefault="0080747B" w:rsidP="00FF22A2">
            <w:pPr>
              <w:rPr>
                <w:shd w:val="clear" w:color="auto" w:fill="FFFFFF"/>
              </w:rPr>
            </w:pPr>
            <w:r w:rsidRPr="00D42CF5">
              <w:rPr>
                <w:color w:val="000000"/>
              </w:rPr>
              <w:t>П1</w:t>
            </w:r>
            <w:r w:rsidR="00FF22A2">
              <w:rPr>
                <w:shd w:val="clear" w:color="auto" w:fill="FFFFFF"/>
              </w:rPr>
              <w:t xml:space="preserve"> Навчально-ознайомча практика</w:t>
            </w:r>
          </w:p>
        </w:tc>
        <w:tc>
          <w:tcPr>
            <w:tcW w:w="3163" w:type="pct"/>
          </w:tcPr>
          <w:p w:rsidR="00FF22A2" w:rsidRPr="00641A0A" w:rsidRDefault="00FF22A2" w:rsidP="00FF22A2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і</w:t>
            </w:r>
            <w:r w:rsidRPr="00641A0A">
              <w:rPr>
                <w:color w:val="000000"/>
              </w:rPr>
              <w:t>дентифікувати об’єкти автомобільного транспорту, їх системи та елементи</w:t>
            </w:r>
          </w:p>
        </w:tc>
      </w:tr>
    </w:tbl>
    <w:p w:rsidR="00680664" w:rsidRPr="000E5B22" w:rsidRDefault="00680664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9651" w:type="dxa"/>
        <w:tblLook w:val="04A0" w:firstRow="1" w:lastRow="0" w:firstColumn="1" w:lastColumn="0" w:noHBand="0" w:noVBand="1"/>
      </w:tblPr>
      <w:tblGrid>
        <w:gridCol w:w="1911"/>
        <w:gridCol w:w="546"/>
        <w:gridCol w:w="1149"/>
        <w:gridCol w:w="1249"/>
        <w:gridCol w:w="1149"/>
        <w:gridCol w:w="1249"/>
        <w:gridCol w:w="1149"/>
        <w:gridCol w:w="1249"/>
      </w:tblGrid>
      <w:tr w:rsidR="00B74EFF" w:rsidRPr="00B74EFF" w:rsidTr="00B74EFF">
        <w:trPr>
          <w:trHeight w:val="33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bookmarkStart w:id="10" w:name="_Toc534664489"/>
            <w:r w:rsidRPr="00B74EFF">
              <w:rPr>
                <w:b/>
                <w:bCs/>
                <w:color w:val="000000"/>
                <w:sz w:val="22"/>
              </w:rPr>
              <w:t>Вид навчальних занять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Обсяг</w:t>
            </w:r>
            <w:r w:rsidRPr="00B74EFF">
              <w:rPr>
                <w:color w:val="000000"/>
                <w:sz w:val="22"/>
              </w:rPr>
              <w:t xml:space="preserve">, </w:t>
            </w:r>
            <w:r w:rsidRPr="00B74EFF">
              <w:rPr>
                <w:i/>
                <w:iCs/>
                <w:color w:val="000000"/>
                <w:sz w:val="22"/>
              </w:rPr>
              <w:t>години</w:t>
            </w:r>
          </w:p>
        </w:tc>
        <w:tc>
          <w:tcPr>
            <w:tcW w:w="7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Розподіл за формами навчання</w:t>
            </w:r>
            <w:r w:rsidRPr="00B74EFF">
              <w:rPr>
                <w:i/>
                <w:iCs/>
                <w:color w:val="000000"/>
                <w:sz w:val="22"/>
              </w:rPr>
              <w:t>, години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денна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вечірня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заочна</w:t>
            </w:r>
          </w:p>
        </w:tc>
      </w:tr>
      <w:tr w:rsidR="00B74EFF" w:rsidRPr="00B74EFF" w:rsidTr="00B74EFF">
        <w:trPr>
          <w:trHeight w:val="9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лекційні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110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практичні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166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лабораторні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семінари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right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РАЗОМ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CD0CA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276</w:t>
            </w:r>
          </w:p>
        </w:tc>
      </w:tr>
    </w:tbl>
    <w:p w:rsidR="008A5A8B" w:rsidRDefault="008A5A8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A8B" w:rsidRDefault="008A5A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p w:rsidR="00680664" w:rsidRPr="004A0405" w:rsidRDefault="00680664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CA5735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680664" w:rsidRPr="00E31962" w:rsidTr="00CA5735">
        <w:trPr>
          <w:trHeight w:val="365"/>
        </w:trPr>
        <w:tc>
          <w:tcPr>
            <w:tcW w:w="690" w:type="pct"/>
          </w:tcPr>
          <w:p w:rsidR="00680664" w:rsidRPr="00E31962" w:rsidRDefault="00680664" w:rsidP="001508A1"/>
        </w:tc>
        <w:tc>
          <w:tcPr>
            <w:tcW w:w="3522" w:type="pct"/>
            <w:tcBorders>
              <w:bottom w:val="single" w:sz="4" w:space="0" w:color="auto"/>
            </w:tcBorders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RDefault="00521F0B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A14C3">
              <w:rPr>
                <w:b/>
                <w:bCs/>
                <w:color w:val="000000"/>
              </w:rPr>
              <w:t>2</w:t>
            </w:r>
          </w:p>
        </w:tc>
      </w:tr>
      <w:tr w:rsidR="005F583F" w:rsidRPr="00E31962" w:rsidTr="00CA5735">
        <w:trPr>
          <w:trHeight w:val="365"/>
        </w:trPr>
        <w:tc>
          <w:tcPr>
            <w:tcW w:w="4212" w:type="pct"/>
            <w:gridSpan w:val="2"/>
          </w:tcPr>
          <w:p w:rsidR="005F583F" w:rsidRPr="00E31962" w:rsidRDefault="005F583F" w:rsidP="001A14C3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color w:val="000000"/>
              </w:rPr>
            </w:pPr>
            <w:r w:rsidRPr="00664CCE">
              <w:rPr>
                <w:b/>
                <w:szCs w:val="28"/>
              </w:rPr>
              <w:t xml:space="preserve">Змістовий модуль 1. </w:t>
            </w:r>
            <w:r w:rsidRPr="00E63DDC">
              <w:rPr>
                <w:szCs w:val="28"/>
              </w:rPr>
              <w:t>Будова, принцип дії та можливі схеми механізмів та систем двигуна та автомобіля.</w:t>
            </w:r>
          </w:p>
        </w:tc>
        <w:tc>
          <w:tcPr>
            <w:tcW w:w="788" w:type="pct"/>
          </w:tcPr>
          <w:p w:rsidR="005F583F" w:rsidRDefault="005F583F" w:rsidP="001508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14C3" w:rsidRPr="00E31962" w:rsidTr="00CA5735">
        <w:trPr>
          <w:trHeight w:val="378"/>
        </w:trPr>
        <w:tc>
          <w:tcPr>
            <w:tcW w:w="690" w:type="pct"/>
            <w:vMerge w:val="restart"/>
          </w:tcPr>
          <w:p w:rsidR="001A14C3" w:rsidRPr="00E31962" w:rsidRDefault="001A14C3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D74E46" w:rsidRDefault="001A14C3" w:rsidP="00D74E4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74E46">
              <w:rPr>
                <w:b/>
                <w:sz w:val="22"/>
                <w:szCs w:val="22"/>
              </w:rPr>
              <w:t>Тема 1.</w:t>
            </w:r>
            <w:r w:rsidRPr="00D74E46">
              <w:rPr>
                <w:sz w:val="22"/>
                <w:szCs w:val="22"/>
              </w:rPr>
              <w:t xml:space="preserve"> Загальна будова автомобіля.</w:t>
            </w:r>
          </w:p>
        </w:tc>
        <w:tc>
          <w:tcPr>
            <w:tcW w:w="788" w:type="pct"/>
          </w:tcPr>
          <w:p w:rsidR="001A14C3" w:rsidRPr="0098371D" w:rsidRDefault="001A14C3" w:rsidP="001508A1">
            <w:pPr>
              <w:jc w:val="center"/>
              <w:rPr>
                <w:bCs/>
                <w:color w:val="000000"/>
              </w:rPr>
            </w:pPr>
            <w:r w:rsidRPr="0098371D">
              <w:rPr>
                <w:bCs/>
                <w:color w:val="000000"/>
              </w:rPr>
              <w:t>2</w:t>
            </w:r>
          </w:p>
        </w:tc>
      </w:tr>
      <w:tr w:rsidR="001A14C3" w:rsidRPr="00E31962" w:rsidTr="00CA5735">
        <w:trPr>
          <w:trHeight w:val="411"/>
        </w:trPr>
        <w:tc>
          <w:tcPr>
            <w:tcW w:w="690" w:type="pct"/>
            <w:vMerge/>
          </w:tcPr>
          <w:p w:rsidR="001A14C3" w:rsidRPr="00E31962" w:rsidRDefault="001A14C3" w:rsidP="001508A1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</w:tcBorders>
          </w:tcPr>
          <w:p w:rsidR="001A14C3" w:rsidRPr="00E31962" w:rsidRDefault="001A14C3" w:rsidP="005F583F"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 xml:space="preserve">. </w:t>
            </w:r>
            <w:r w:rsidRPr="00E63DDC">
              <w:rPr>
                <w:szCs w:val="28"/>
              </w:rPr>
              <w:t>Загальна будова автомобільних двигунів</w:t>
            </w:r>
            <w:r>
              <w:rPr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1508A1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1A14C3" w:rsidRPr="00E31962" w:rsidTr="00CA5735">
        <w:trPr>
          <w:trHeight w:val="559"/>
        </w:trPr>
        <w:tc>
          <w:tcPr>
            <w:tcW w:w="690" w:type="pct"/>
            <w:vMerge/>
          </w:tcPr>
          <w:p w:rsidR="001A14C3" w:rsidRPr="00E31962" w:rsidRDefault="001A14C3" w:rsidP="001508A1">
            <w:pPr>
              <w:rPr>
                <w:color w:val="000000"/>
              </w:rPr>
            </w:pPr>
          </w:p>
        </w:tc>
        <w:tc>
          <w:tcPr>
            <w:tcW w:w="3522" w:type="pct"/>
            <w:vAlign w:val="center"/>
          </w:tcPr>
          <w:p w:rsidR="001A14C3" w:rsidRPr="00E31962" w:rsidRDefault="001A14C3" w:rsidP="005F583F">
            <w:r>
              <w:rPr>
                <w:b/>
                <w:szCs w:val="28"/>
              </w:rPr>
              <w:t>Тема 3.</w:t>
            </w:r>
            <w:r>
              <w:rPr>
                <w:szCs w:val="28"/>
              </w:rPr>
              <w:t xml:space="preserve"> Загальна будова кривошипно-шатунного механізму.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1508A1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1A14C3" w:rsidRPr="00E31962" w:rsidTr="00CA5735">
        <w:trPr>
          <w:trHeight w:val="411"/>
        </w:trPr>
        <w:tc>
          <w:tcPr>
            <w:tcW w:w="690" w:type="pct"/>
            <w:vMerge/>
          </w:tcPr>
          <w:p w:rsidR="001A14C3" w:rsidRPr="00E31962" w:rsidRDefault="001A14C3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E31962" w:rsidRDefault="001A14C3" w:rsidP="005F583F">
            <w:pPr>
              <w:rPr>
                <w:b/>
              </w:rPr>
            </w:pPr>
            <w:r>
              <w:rPr>
                <w:b/>
                <w:szCs w:val="28"/>
              </w:rPr>
              <w:t>Тема 4.</w:t>
            </w:r>
            <w:r>
              <w:rPr>
                <w:szCs w:val="28"/>
              </w:rPr>
              <w:t xml:space="preserve"> Загальна будова системи охолодження.</w:t>
            </w:r>
          </w:p>
        </w:tc>
        <w:tc>
          <w:tcPr>
            <w:tcW w:w="788" w:type="pct"/>
          </w:tcPr>
          <w:p w:rsidR="001A14C3" w:rsidRPr="0098371D" w:rsidRDefault="001A14C3" w:rsidP="00B235DC">
            <w:pPr>
              <w:jc w:val="center"/>
              <w:rPr>
                <w:bCs/>
                <w:color w:val="000000"/>
              </w:rPr>
            </w:pPr>
            <w:r w:rsidRPr="0098371D">
              <w:rPr>
                <w:bCs/>
                <w:color w:val="000000"/>
              </w:rPr>
              <w:t>2</w:t>
            </w:r>
          </w:p>
        </w:tc>
      </w:tr>
      <w:tr w:rsidR="001A14C3" w:rsidRPr="00E31962" w:rsidTr="00CA5735">
        <w:trPr>
          <w:trHeight w:val="443"/>
        </w:trPr>
        <w:tc>
          <w:tcPr>
            <w:tcW w:w="690" w:type="pct"/>
            <w:vMerge/>
          </w:tcPr>
          <w:p w:rsidR="001A14C3" w:rsidRPr="00E31962" w:rsidRDefault="001A14C3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E31962" w:rsidRDefault="001A14C3" w:rsidP="005F583F">
            <w:r>
              <w:rPr>
                <w:b/>
                <w:szCs w:val="28"/>
              </w:rPr>
              <w:t xml:space="preserve">Тема 5. </w:t>
            </w:r>
            <w:r>
              <w:rPr>
                <w:szCs w:val="28"/>
              </w:rPr>
              <w:t>Загальна будова системи мащення.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1A14C3" w:rsidRPr="00E31962" w:rsidTr="00CA5735">
        <w:trPr>
          <w:trHeight w:val="705"/>
        </w:trPr>
        <w:tc>
          <w:tcPr>
            <w:tcW w:w="690" w:type="pct"/>
            <w:vMerge/>
          </w:tcPr>
          <w:p w:rsidR="001A14C3" w:rsidRPr="00E31962" w:rsidRDefault="001A14C3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1A14C3" w:rsidRPr="00E31962" w:rsidRDefault="001A14C3" w:rsidP="005F583F">
            <w:r>
              <w:rPr>
                <w:b/>
                <w:szCs w:val="28"/>
              </w:rPr>
              <w:t>Тема 6.</w:t>
            </w:r>
            <w:r>
              <w:rPr>
                <w:szCs w:val="28"/>
              </w:rPr>
              <w:t xml:space="preserve"> Загальна будова системи живлення бензинового двигуна, дизеля, газового двигуна.</w:t>
            </w:r>
          </w:p>
        </w:tc>
        <w:tc>
          <w:tcPr>
            <w:tcW w:w="788" w:type="pct"/>
            <w:vAlign w:val="center"/>
          </w:tcPr>
          <w:p w:rsidR="001A14C3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6</w:t>
            </w:r>
          </w:p>
        </w:tc>
      </w:tr>
      <w:tr w:rsidR="005F583F" w:rsidRPr="00E31962" w:rsidTr="00CA5735">
        <w:trPr>
          <w:trHeight w:val="137"/>
        </w:trPr>
        <w:tc>
          <w:tcPr>
            <w:tcW w:w="4212" w:type="pct"/>
            <w:gridSpan w:val="2"/>
          </w:tcPr>
          <w:p w:rsidR="005F583F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Змістовий модуль 2.</w:t>
            </w:r>
            <w:r>
              <w:rPr>
                <w:szCs w:val="28"/>
              </w:rPr>
              <w:t xml:space="preserve"> Будова, принцип дії трансмісії автомобіля.</w:t>
            </w:r>
          </w:p>
        </w:tc>
        <w:tc>
          <w:tcPr>
            <w:tcW w:w="788" w:type="pct"/>
            <w:vAlign w:val="center"/>
          </w:tcPr>
          <w:p w:rsidR="005F583F" w:rsidRPr="0098371D" w:rsidRDefault="005F583F" w:rsidP="00B235DC">
            <w:pPr>
              <w:jc w:val="center"/>
              <w:rPr>
                <w:color w:val="000000"/>
              </w:rPr>
            </w:pP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tabs>
                <w:tab w:val="left" w:pos="284"/>
                <w:tab w:val="left" w:pos="567"/>
              </w:tabs>
              <w:rPr>
                <w:color w:val="000000"/>
                <w:sz w:val="22"/>
                <w:szCs w:val="28"/>
              </w:rPr>
            </w:pPr>
            <w:r w:rsidRPr="00664CCE">
              <w:rPr>
                <w:b/>
                <w:szCs w:val="28"/>
              </w:rPr>
              <w:t>Тема 1.</w:t>
            </w: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Загальна будова трансмісії.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 xml:space="preserve">. </w:t>
            </w:r>
            <w:r w:rsidRPr="001F0EC3">
              <w:rPr>
                <w:szCs w:val="28"/>
              </w:rPr>
              <w:t>Загальна будова зчеплення</w:t>
            </w:r>
            <w:r w:rsidRPr="00CE61D9">
              <w:rPr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 xml:space="preserve">Тема 3. </w:t>
            </w:r>
            <w:r>
              <w:rPr>
                <w:szCs w:val="28"/>
              </w:rPr>
              <w:t>Загальна будова коробки зміни передач.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Тема 4.</w:t>
            </w:r>
            <w:r>
              <w:rPr>
                <w:szCs w:val="28"/>
              </w:rPr>
              <w:t xml:space="preserve"> Загальна будова карданних передач.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Тема 5.</w:t>
            </w:r>
            <w:r>
              <w:rPr>
                <w:szCs w:val="28"/>
              </w:rPr>
              <w:t xml:space="preserve"> Загальна будова диференціалу.</w:t>
            </w:r>
          </w:p>
        </w:tc>
        <w:tc>
          <w:tcPr>
            <w:tcW w:w="788" w:type="pct"/>
            <w:vAlign w:val="center"/>
          </w:tcPr>
          <w:p w:rsidR="00D74E46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5F583F" w:rsidP="005F583F">
            <w:pPr>
              <w:rPr>
                <w:color w:val="000000"/>
                <w:sz w:val="22"/>
                <w:szCs w:val="28"/>
              </w:rPr>
            </w:pPr>
            <w:r>
              <w:rPr>
                <w:b/>
                <w:szCs w:val="28"/>
              </w:rPr>
              <w:t>Тема 6.</w:t>
            </w:r>
            <w:r>
              <w:rPr>
                <w:szCs w:val="28"/>
              </w:rPr>
              <w:t xml:space="preserve"> Загальна будова головної передачі та колісних редукторів.</w:t>
            </w:r>
          </w:p>
        </w:tc>
        <w:tc>
          <w:tcPr>
            <w:tcW w:w="788" w:type="pct"/>
            <w:vAlign w:val="center"/>
          </w:tcPr>
          <w:p w:rsidR="00D74E46" w:rsidRPr="0098371D" w:rsidRDefault="0098371D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4212" w:type="pct"/>
            <w:gridSpan w:val="2"/>
          </w:tcPr>
          <w:p w:rsidR="005F583F" w:rsidRDefault="005F583F" w:rsidP="005F58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Змістовий модуль 3. </w:t>
            </w:r>
            <w:r w:rsidRPr="00A36075">
              <w:rPr>
                <w:szCs w:val="28"/>
              </w:rPr>
              <w:t>Ходова частина.</w:t>
            </w:r>
          </w:p>
        </w:tc>
        <w:tc>
          <w:tcPr>
            <w:tcW w:w="788" w:type="pct"/>
            <w:vAlign w:val="center"/>
          </w:tcPr>
          <w:p w:rsidR="005F583F" w:rsidRPr="0098371D" w:rsidRDefault="005F583F" w:rsidP="00B235DC">
            <w:pPr>
              <w:jc w:val="center"/>
              <w:rPr>
                <w:color w:val="000000"/>
              </w:rPr>
            </w:pP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5F583F" w:rsidP="005F583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664CCE">
              <w:rPr>
                <w:b/>
                <w:szCs w:val="28"/>
              </w:rPr>
              <w:t>Тема 1.</w:t>
            </w: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Загальна будова підвісок.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5F583F" w:rsidP="005F583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083AFA">
              <w:rPr>
                <w:b/>
                <w:szCs w:val="28"/>
              </w:rPr>
              <w:t>Тема 2.</w:t>
            </w:r>
            <w:r>
              <w:rPr>
                <w:szCs w:val="28"/>
              </w:rPr>
              <w:t xml:space="preserve"> Загальна будова коліс з пневматичною шиною.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4212" w:type="pct"/>
            <w:gridSpan w:val="2"/>
          </w:tcPr>
          <w:p w:rsidR="005F583F" w:rsidRDefault="005F583F" w:rsidP="00CA57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Змістовий модуль 4. </w:t>
            </w:r>
            <w:r>
              <w:rPr>
                <w:szCs w:val="28"/>
              </w:rPr>
              <w:t>Системи керування автомобіля.</w:t>
            </w:r>
          </w:p>
        </w:tc>
        <w:tc>
          <w:tcPr>
            <w:tcW w:w="788" w:type="pct"/>
            <w:vAlign w:val="center"/>
          </w:tcPr>
          <w:p w:rsidR="005F583F" w:rsidRPr="0098371D" w:rsidRDefault="005F583F" w:rsidP="00B235DC">
            <w:pPr>
              <w:jc w:val="center"/>
              <w:rPr>
                <w:color w:val="000000"/>
              </w:rPr>
            </w:pP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CA5735" w:rsidP="00CA57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</w:t>
            </w:r>
            <w:r>
              <w:rPr>
                <w:szCs w:val="28"/>
              </w:rPr>
              <w:t xml:space="preserve"> Загальна будова рульового керування. Рульові механізми та приводи. Підсилювачі.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5F583F" w:rsidRPr="00E31962" w:rsidTr="00CA5735">
        <w:trPr>
          <w:trHeight w:val="137"/>
        </w:trPr>
        <w:tc>
          <w:tcPr>
            <w:tcW w:w="690" w:type="pct"/>
          </w:tcPr>
          <w:p w:rsidR="005F583F" w:rsidRPr="00E31962" w:rsidRDefault="005F583F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F583F" w:rsidRDefault="00CA5735" w:rsidP="00CA57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2.</w:t>
            </w:r>
            <w:r>
              <w:rPr>
                <w:szCs w:val="28"/>
              </w:rPr>
              <w:t xml:space="preserve"> Загальна будова гальмової системи. Гальмові механізми, гальмові приводи, регулятори гальмових сил.</w:t>
            </w:r>
          </w:p>
        </w:tc>
        <w:tc>
          <w:tcPr>
            <w:tcW w:w="788" w:type="pct"/>
            <w:vAlign w:val="center"/>
          </w:tcPr>
          <w:p w:rsidR="005F583F" w:rsidRPr="0098371D" w:rsidRDefault="001A14C3" w:rsidP="00B235DC">
            <w:pPr>
              <w:jc w:val="center"/>
              <w:rPr>
                <w:color w:val="000000"/>
              </w:rPr>
            </w:pPr>
            <w:r w:rsidRPr="0098371D">
              <w:rPr>
                <w:color w:val="000000"/>
              </w:rPr>
              <w:t>4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D74E46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D74E46" w:rsidP="00D74E46">
            <w:pPr>
              <w:rPr>
                <w:color w:val="000000"/>
                <w:sz w:val="22"/>
                <w:szCs w:val="28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D74E46" w:rsidRPr="00E31962" w:rsidRDefault="001A14C3" w:rsidP="00D74E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</w:tr>
      <w:tr w:rsidR="0098371D" w:rsidRPr="008A5B1B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Pr="008A5B1B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Кривошипно-шатунний механізм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RPr="008A5B1B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Pr="008A5B1B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Механізм газорозподілу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охолодження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змащення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живлення бензинових двигунів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Система живлення дизельних двигунів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Прилади подачі та очистки бензину та повітря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Газобалона установка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Зчеплення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Pr="008A5B1B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Коробка переміни передач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Карданні передачі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Ведучій міст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Рульове керування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371D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shd w:val="clear" w:color="auto" w:fill="auto"/>
          </w:tcPr>
          <w:p w:rsidR="0098371D" w:rsidRDefault="0098371D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98371D" w:rsidRDefault="0098371D" w:rsidP="0098371D">
            <w:pPr>
              <w:pStyle w:val="ad"/>
              <w:numPr>
                <w:ilvl w:val="0"/>
                <w:numId w:val="34"/>
              </w:numPr>
            </w:pPr>
            <w:r>
              <w:t>Гальмова система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8371D" w:rsidRDefault="0098371D" w:rsidP="0098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5735" w:rsidRPr="00E31962" w:rsidTr="00CA5735">
        <w:trPr>
          <w:trHeight w:val="124"/>
        </w:trPr>
        <w:tc>
          <w:tcPr>
            <w:tcW w:w="690" w:type="pct"/>
          </w:tcPr>
          <w:p w:rsidR="00CA5735" w:rsidRPr="00E31962" w:rsidRDefault="00CA5735" w:rsidP="00D74E46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CA5735" w:rsidRPr="00E31962" w:rsidRDefault="00CA5735" w:rsidP="00D74E46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CA5735" w:rsidRDefault="001A14C3" w:rsidP="00D74E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</w:tbl>
    <w:p w:rsidR="00680664" w:rsidRDefault="00680664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680664" w:rsidRPr="00C66A98" w:rsidRDefault="00680664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Pr="00C66A98" w:rsidRDefault="0068066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680664" w:rsidRPr="008920E3" w:rsidRDefault="00680664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680664" w:rsidRDefault="0068066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8A5A8B" w:rsidRDefault="008A5A8B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680664" w:rsidRPr="00F74369" w:rsidRDefault="00680664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680664" w:rsidRDefault="00680664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2"/>
      <w:r>
        <w:rPr>
          <w:sz w:val="28"/>
          <w:szCs w:val="28"/>
        </w:rPr>
        <w:t>6.2 Засоби та процедури</w:t>
      </w:r>
      <w:bookmarkEnd w:id="13"/>
    </w:p>
    <w:p w:rsidR="00680664" w:rsidRDefault="00680664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680664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680664" w:rsidRPr="00964881" w:rsidRDefault="00680664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680664" w:rsidRPr="0032312C" w:rsidRDefault="00680664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8A5A8B" w:rsidRDefault="008A5A8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680664" w:rsidRDefault="00680664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lastRenderedPageBreak/>
        <w:t xml:space="preserve">Загальні критерії досягнення результатів навчання </w:t>
      </w:r>
    </w:p>
    <w:p w:rsidR="00680664" w:rsidRDefault="00680664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82044C">
        <w:rPr>
          <w:b/>
          <w:i/>
          <w:color w:val="000000"/>
        </w:rPr>
        <w:t>6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A47EA" w:rsidRDefault="006A47EA" w:rsidP="006A47EA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6A47EA" w:rsidRPr="001A6E5D" w:rsidRDefault="006A47EA" w:rsidP="006A47EA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6A47EA" w:rsidRPr="00AA0B81" w:rsidTr="00651E6D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128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651E6D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6A47EA" w:rsidRPr="00AA0B81" w:rsidRDefault="006A47EA" w:rsidP="00651E6D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651E6D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6A47EA" w:rsidRPr="00AA0B81" w:rsidRDefault="006A47EA" w:rsidP="00651E6D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6A47EA" w:rsidRPr="00AA0B81" w:rsidRDefault="006A47EA" w:rsidP="00651E6D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6A47EA" w:rsidRPr="00AA0B81" w:rsidRDefault="006A47EA" w:rsidP="00651E6D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651E6D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логічно й зрозуміло інтерпретувати інформацію;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6A47EA" w:rsidRPr="00AA0B81" w:rsidTr="00651E6D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6A47EA" w:rsidRPr="00AA0B81" w:rsidRDefault="006A47EA" w:rsidP="00651E6D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неточностями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1"/>
              <w:jc w:val="center"/>
            </w:pPr>
            <w:r>
              <w:br w:type="page"/>
            </w:r>
            <w:r w:rsidRPr="00AA0B81">
              <w:rPr>
                <w:rFonts w:eastAsia="Arial"/>
                <w:b/>
                <w:i/>
                <w:sz w:val="22"/>
              </w:rPr>
              <w:t xml:space="preserve">Комунікація </w:t>
            </w:r>
          </w:p>
        </w:tc>
      </w:tr>
      <w:tr w:rsidR="006A47EA" w:rsidRPr="00AA0B81" w:rsidTr="00651E6D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43"/>
            </w:pPr>
            <w:r w:rsidRPr="00AA0B81">
              <w:rPr>
                <w:noProof/>
                <w:lang w:val="ru-RU"/>
              </w:rPr>
              <w:drawing>
                <wp:inline distT="0" distB="0" distL="0" distR="0" wp14:anchorId="0AFEB218" wp14:editId="6802EB7A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6A47EA" w:rsidRPr="00AA0B81" w:rsidRDefault="006A47EA" w:rsidP="00651E6D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val="ru-RU"/>
              </w:rPr>
              <w:drawing>
                <wp:inline distT="0" distB="0" distL="0" distR="0" wp14:anchorId="5310A054" wp14:editId="3FE39DC4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6A47EA" w:rsidRPr="00AA0B81" w:rsidRDefault="006A47EA" w:rsidP="00651E6D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6A47EA" w:rsidRPr="00AA0B81" w:rsidRDefault="006A47EA" w:rsidP="00651E6D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6A47EA" w:rsidRPr="00AA0B81" w:rsidRDefault="006A47EA" w:rsidP="00651E6D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відстоюваним положенням;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6A47EA" w:rsidRPr="00AA0B81" w:rsidRDefault="006A47EA" w:rsidP="00651E6D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6A47EA" w:rsidRPr="00AA0B81" w:rsidTr="00651E6D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Автономність та відповідальність </w:t>
            </w:r>
          </w:p>
        </w:tc>
      </w:tr>
      <w:tr w:rsidR="006A47EA" w:rsidRPr="00AA0B81" w:rsidTr="00651E6D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6A47EA" w:rsidRPr="00AA0B81" w:rsidRDefault="006A47EA" w:rsidP="00651E6D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6A47EA" w:rsidRPr="00AA0B81" w:rsidRDefault="006A47EA" w:rsidP="00651E6D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6A47EA" w:rsidRPr="00AA0B81" w:rsidRDefault="006A47EA" w:rsidP="00651E6D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6A47EA" w:rsidRPr="00AA0B81" w:rsidRDefault="006A47EA" w:rsidP="00651E6D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6A47EA" w:rsidRPr="00AA0B81" w:rsidRDefault="006A47EA" w:rsidP="00651E6D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6A47EA" w:rsidRPr="00AA0B81" w:rsidRDefault="006A47EA" w:rsidP="00651E6D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6A47EA" w:rsidRPr="00AA0B81" w:rsidRDefault="006A47EA" w:rsidP="00651E6D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6A47EA" w:rsidRPr="00AA0B81" w:rsidRDefault="006A47EA" w:rsidP="00651E6D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професійно-орієнтовних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загальнонавчальних умінь і навичок;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A47EA" w:rsidRPr="0063475A" w:rsidRDefault="006A47EA" w:rsidP="006A47EA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534664494"/>
      <w:bookmarkEnd w:id="8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680664" w:rsidRDefault="00680664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r w:rsidR="00B06427">
        <w:rPr>
          <w:bCs/>
          <w:color w:val="000000"/>
          <w:sz w:val="28"/>
          <w:szCs w:val="28"/>
          <w:lang w:val="en-US"/>
        </w:rPr>
        <w:t>oodl</w:t>
      </w:r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Pr="00BD08A8" w:rsidRDefault="00680664" w:rsidP="00B74EFF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B962C0" w:rsidRDefault="00552ED1" w:rsidP="00B962C0">
      <w:pPr>
        <w:pStyle w:val="ad"/>
        <w:numPr>
          <w:ilvl w:val="0"/>
          <w:numId w:val="33"/>
        </w:num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B962C0">
        <w:rPr>
          <w:bCs/>
          <w:color w:val="000000"/>
          <w:sz w:val="28"/>
          <w:szCs w:val="28"/>
        </w:rPr>
        <w:t xml:space="preserve"> Кисляков В.Ф. Лущик В.В. </w:t>
      </w:r>
      <w:r w:rsidR="00B962C0">
        <w:rPr>
          <w:bCs/>
          <w:color w:val="000000"/>
          <w:sz w:val="28"/>
          <w:szCs w:val="28"/>
        </w:rPr>
        <w:t>Б</w:t>
      </w:r>
      <w:r w:rsidRPr="00B962C0">
        <w:rPr>
          <w:bCs/>
          <w:color w:val="000000"/>
          <w:sz w:val="28"/>
          <w:szCs w:val="28"/>
        </w:rPr>
        <w:t xml:space="preserve">удова й експлуатація автомобілів. – Київ: Либідь, 2000 -399 с. 5. Боровських Ю.І. Буралев Ю.В., Морозов К.А. Будова автомобіля. – Київ: Вища школа, 1991 – 303 с 6. </w:t>
      </w:r>
    </w:p>
    <w:p w:rsidR="00B962C0" w:rsidRDefault="00552ED1" w:rsidP="00B962C0">
      <w:pPr>
        <w:pStyle w:val="ad"/>
        <w:numPr>
          <w:ilvl w:val="0"/>
          <w:numId w:val="33"/>
        </w:num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B962C0">
        <w:rPr>
          <w:bCs/>
          <w:color w:val="000000"/>
          <w:sz w:val="28"/>
          <w:szCs w:val="28"/>
        </w:rPr>
        <w:t>Біліченко В.В., Зелінський В.Й., Севостьянов С.М. – Основи конструкції автомобілів. Трансмісія. Навчальний посібник, ВДТУ – 2003рік.</w:t>
      </w:r>
    </w:p>
    <w:p w:rsidR="00B962C0" w:rsidRDefault="00552ED1" w:rsidP="002953C7">
      <w:pPr>
        <w:pStyle w:val="ad"/>
        <w:numPr>
          <w:ilvl w:val="0"/>
          <w:numId w:val="33"/>
        </w:num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B962C0">
        <w:rPr>
          <w:bCs/>
          <w:color w:val="000000"/>
          <w:sz w:val="28"/>
          <w:szCs w:val="28"/>
        </w:rPr>
        <w:t xml:space="preserve"> Біліченко В.В., Зелінський В.Й., Севостьянов С.М. – Основи конструкції автомобілів. Ходова частина. Навчальний посібник, ВДТУ – 2005 рік</w:t>
      </w:r>
    </w:p>
    <w:p w:rsidR="00B74EFF" w:rsidRPr="00B962C0" w:rsidRDefault="00B962C0" w:rsidP="002953C7">
      <w:pPr>
        <w:pStyle w:val="ad"/>
        <w:numPr>
          <w:ilvl w:val="0"/>
          <w:numId w:val="33"/>
        </w:num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52ED1" w:rsidRPr="00B962C0">
        <w:rPr>
          <w:bCs/>
          <w:color w:val="000000"/>
          <w:sz w:val="28"/>
          <w:szCs w:val="28"/>
        </w:rPr>
        <w:t>Вишняков М.І., Вахламов В.К., Нарбут А.Н., Автомобиль: Основы конструкции, -</w:t>
      </w:r>
      <w:r>
        <w:rPr>
          <w:bCs/>
          <w:color w:val="000000"/>
          <w:sz w:val="28"/>
          <w:szCs w:val="28"/>
        </w:rPr>
        <w:t xml:space="preserve"> М.: Машиностроение 1986 – 304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Пошук необхідних матеріалів проводиться за ключовими словами.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  <w:bookmarkStart w:id="21" w:name="_GoBack"/>
      <w:bookmarkEnd w:id="21"/>
    </w:p>
    <w:p w:rsidR="00B74EFF" w:rsidRDefault="00B74EFF" w:rsidP="00B74EFF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t>ІНФОРМАЦІЙНІ РЕСУРСИ</w:t>
      </w:r>
    </w:p>
    <w:p w:rsidR="00B74EFF" w:rsidRPr="00B74EFF" w:rsidRDefault="00B74EFF" w:rsidP="00B74EFF">
      <w:pPr>
        <w:pStyle w:val="ad"/>
        <w:shd w:val="clear" w:color="auto" w:fill="FFFFFF"/>
        <w:tabs>
          <w:tab w:val="left" w:pos="365"/>
        </w:tabs>
        <w:spacing w:line="276" w:lineRule="auto"/>
        <w:ind w:left="1080"/>
        <w:rPr>
          <w:b/>
          <w:bCs/>
          <w:color w:val="000000"/>
          <w:sz w:val="28"/>
          <w:szCs w:val="28"/>
        </w:rPr>
      </w:pPr>
    </w:p>
    <w:p w:rsidR="00B74EFF" w:rsidRPr="00B74EFF" w:rsidRDefault="0090338D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9" w:history="1">
        <w:r w:rsidR="00B74EFF" w:rsidRPr="00B74EFF">
          <w:rPr>
            <w:bCs/>
            <w:color w:val="000000"/>
            <w:sz w:val="28"/>
            <w:szCs w:val="28"/>
          </w:rPr>
          <w:t>https://www.uakey.com.ua/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EFF">
          <w:rPr>
            <w:bCs/>
            <w:color w:val="000000"/>
            <w:sz w:val="28"/>
            <w:szCs w:val="28"/>
          </w:rPr>
          <w:t>https://czo.gov.ua/ca-registry-details?type=0&amp;id=60</w:t>
        </w:r>
      </w:hyperlink>
    </w:p>
    <w:p w:rsidR="00B74EFF" w:rsidRPr="00B74EFF" w:rsidRDefault="0090338D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1" w:history="1">
        <w:r w:rsidR="00B74EFF" w:rsidRPr="00B74EFF">
          <w:rPr>
            <w:bCs/>
            <w:color w:val="000000"/>
            <w:sz w:val="28"/>
            <w:szCs w:val="28"/>
          </w:rPr>
          <w:t>https://www.uakey.com.ua/ua/setificate-one-office/text=3&amp;page=1?lang=ukr</w:t>
        </w:r>
      </w:hyperlink>
    </w:p>
    <w:p w:rsidR="00B74EFF" w:rsidRPr="00B74EFF" w:rsidRDefault="0090338D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2" w:history="1">
        <w:r w:rsidR="00B74EFF" w:rsidRPr="00B74EFF">
          <w:rPr>
            <w:bCs/>
            <w:color w:val="000000"/>
            <w:sz w:val="28"/>
            <w:szCs w:val="28"/>
          </w:rPr>
          <w:t>http://ukrcert.com/script/index_oc.php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80664" w:rsidRDefault="00680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727599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110250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110250">
        <w:rPr>
          <w:sz w:val="28"/>
          <w:szCs w:val="28"/>
        </w:rPr>
        <w:t>Автомобілі</w:t>
      </w:r>
      <w:r w:rsidRPr="006E5ACF">
        <w:rPr>
          <w:b w:val="0"/>
          <w:sz w:val="28"/>
          <w:szCs w:val="28"/>
        </w:rPr>
        <w:t xml:space="preserve">» </w:t>
      </w:r>
    </w:p>
    <w:p w:rsidR="00680664" w:rsidRPr="006E5ACF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 xml:space="preserve">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80747B" w:rsidRDefault="00680664" w:rsidP="001B2ED6">
      <w:pPr>
        <w:suppressLineNumbers/>
        <w:suppressAutoHyphens/>
        <w:ind w:left="-6"/>
        <w:jc w:val="center"/>
        <w:rPr>
          <w:sz w:val="28"/>
          <w:szCs w:val="28"/>
          <w:lang w:val="ru-RU"/>
        </w:rPr>
      </w:pPr>
      <w:r w:rsidRPr="00064D43">
        <w:rPr>
          <w:sz w:val="28"/>
          <w:szCs w:val="28"/>
        </w:rPr>
        <w:t xml:space="preserve">Розробник: </w:t>
      </w:r>
      <w:r w:rsidR="00110250">
        <w:rPr>
          <w:sz w:val="28"/>
          <w:szCs w:val="28"/>
        </w:rPr>
        <w:t>Бас Костянтин Маркович</w:t>
      </w:r>
    </w:p>
    <w:p w:rsidR="00680664" w:rsidRPr="00064D43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r w:rsidRPr="009503A9">
        <w:rPr>
          <w:sz w:val="28"/>
          <w:szCs w:val="28"/>
        </w:rPr>
        <w:t>О.Н. Ільченко</w:t>
      </w: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Ризографія. Ум. друк.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просп.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8D" w:rsidRDefault="0090338D" w:rsidP="00B95F75">
      <w:r>
        <w:separator/>
      </w:r>
    </w:p>
  </w:endnote>
  <w:endnote w:type="continuationSeparator" w:id="0">
    <w:p w:rsidR="0090338D" w:rsidRDefault="0090338D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6D" w:rsidRDefault="00651E6D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41B3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8D" w:rsidRDefault="0090338D" w:rsidP="00B95F75">
      <w:r>
        <w:separator/>
      </w:r>
    </w:p>
  </w:footnote>
  <w:footnote w:type="continuationSeparator" w:id="0">
    <w:p w:rsidR="0090338D" w:rsidRDefault="0090338D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5pt;height:61.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7E6760"/>
    <w:multiLevelType w:val="hybridMultilevel"/>
    <w:tmpl w:val="5A82CAF2"/>
    <w:lvl w:ilvl="0" w:tplc="602E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9562FF"/>
    <w:multiLevelType w:val="hybridMultilevel"/>
    <w:tmpl w:val="82C662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6"/>
  </w:num>
  <w:num w:numId="5">
    <w:abstractNumId w:val="25"/>
  </w:num>
  <w:num w:numId="6">
    <w:abstractNumId w:val="10"/>
  </w:num>
  <w:num w:numId="7">
    <w:abstractNumId w:val="19"/>
  </w:num>
  <w:num w:numId="8">
    <w:abstractNumId w:val="23"/>
  </w:num>
  <w:num w:numId="9">
    <w:abstractNumId w:val="32"/>
  </w:num>
  <w:num w:numId="10">
    <w:abstractNumId w:val="14"/>
  </w:num>
  <w:num w:numId="11">
    <w:abstractNumId w:val="30"/>
  </w:num>
  <w:num w:numId="12">
    <w:abstractNumId w:val="8"/>
  </w:num>
  <w:num w:numId="13">
    <w:abstractNumId w:val="20"/>
  </w:num>
  <w:num w:numId="14">
    <w:abstractNumId w:val="18"/>
  </w:num>
  <w:num w:numId="15">
    <w:abstractNumId w:val="2"/>
  </w:num>
  <w:num w:numId="16">
    <w:abstractNumId w:val="26"/>
  </w:num>
  <w:num w:numId="17">
    <w:abstractNumId w:val="31"/>
  </w:num>
  <w:num w:numId="18">
    <w:abstractNumId w:val="0"/>
  </w:num>
  <w:num w:numId="19">
    <w:abstractNumId w:val="7"/>
  </w:num>
  <w:num w:numId="20">
    <w:abstractNumId w:val="2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8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12CB7"/>
    <w:rsid w:val="0001500E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0250"/>
    <w:rsid w:val="001143C5"/>
    <w:rsid w:val="0011654A"/>
    <w:rsid w:val="00123446"/>
    <w:rsid w:val="001334A0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14C3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1854"/>
    <w:rsid w:val="00225B42"/>
    <w:rsid w:val="00234B6B"/>
    <w:rsid w:val="0023500E"/>
    <w:rsid w:val="00241B33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A7741"/>
    <w:rsid w:val="002B0B64"/>
    <w:rsid w:val="002B259E"/>
    <w:rsid w:val="002C06C3"/>
    <w:rsid w:val="002C3269"/>
    <w:rsid w:val="002C5352"/>
    <w:rsid w:val="002D0D9A"/>
    <w:rsid w:val="002D4B16"/>
    <w:rsid w:val="002E652D"/>
    <w:rsid w:val="002F253C"/>
    <w:rsid w:val="00303B86"/>
    <w:rsid w:val="003118C7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18A9"/>
    <w:rsid w:val="00392811"/>
    <w:rsid w:val="00393129"/>
    <w:rsid w:val="003A3B53"/>
    <w:rsid w:val="003A75BD"/>
    <w:rsid w:val="003C0644"/>
    <w:rsid w:val="003C271B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1F0B"/>
    <w:rsid w:val="00524D35"/>
    <w:rsid w:val="0052662F"/>
    <w:rsid w:val="00543DCE"/>
    <w:rsid w:val="005442CC"/>
    <w:rsid w:val="00547590"/>
    <w:rsid w:val="00547B58"/>
    <w:rsid w:val="00552ED1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F583F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0D9E"/>
    <w:rsid w:val="006517BA"/>
    <w:rsid w:val="00651E6D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A47EA"/>
    <w:rsid w:val="006B131E"/>
    <w:rsid w:val="006B78E7"/>
    <w:rsid w:val="006C360B"/>
    <w:rsid w:val="006E0CAF"/>
    <w:rsid w:val="006E23C2"/>
    <w:rsid w:val="006E5ACF"/>
    <w:rsid w:val="006F0A89"/>
    <w:rsid w:val="006F79EB"/>
    <w:rsid w:val="00722E70"/>
    <w:rsid w:val="00727599"/>
    <w:rsid w:val="00735500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B132D"/>
    <w:rsid w:val="007B7068"/>
    <w:rsid w:val="007C58EC"/>
    <w:rsid w:val="007C62CB"/>
    <w:rsid w:val="007D0B1E"/>
    <w:rsid w:val="007D4B3B"/>
    <w:rsid w:val="007F0ACE"/>
    <w:rsid w:val="007F2D4D"/>
    <w:rsid w:val="0080072C"/>
    <w:rsid w:val="008040FF"/>
    <w:rsid w:val="0080545A"/>
    <w:rsid w:val="00805D9A"/>
    <w:rsid w:val="0080747B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5A8B"/>
    <w:rsid w:val="008A666D"/>
    <w:rsid w:val="008B57B7"/>
    <w:rsid w:val="008C4808"/>
    <w:rsid w:val="008D05AC"/>
    <w:rsid w:val="008D0C7F"/>
    <w:rsid w:val="008E5FA6"/>
    <w:rsid w:val="008F2496"/>
    <w:rsid w:val="008F5639"/>
    <w:rsid w:val="0090338D"/>
    <w:rsid w:val="00905302"/>
    <w:rsid w:val="00905B7A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03A9"/>
    <w:rsid w:val="00954BDE"/>
    <w:rsid w:val="009572D4"/>
    <w:rsid w:val="00964881"/>
    <w:rsid w:val="009652A1"/>
    <w:rsid w:val="00973144"/>
    <w:rsid w:val="00975658"/>
    <w:rsid w:val="009779FB"/>
    <w:rsid w:val="009827D4"/>
    <w:rsid w:val="0098371D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C24"/>
    <w:rsid w:val="009D31BD"/>
    <w:rsid w:val="009D3B68"/>
    <w:rsid w:val="009D4E00"/>
    <w:rsid w:val="009D63FD"/>
    <w:rsid w:val="009E223A"/>
    <w:rsid w:val="009E3CB6"/>
    <w:rsid w:val="009F28BE"/>
    <w:rsid w:val="009F78E1"/>
    <w:rsid w:val="00A00D2C"/>
    <w:rsid w:val="00A02E43"/>
    <w:rsid w:val="00A1575D"/>
    <w:rsid w:val="00A2296B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204B"/>
    <w:rsid w:val="00AA74E0"/>
    <w:rsid w:val="00AB2DEE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235DC"/>
    <w:rsid w:val="00B31C41"/>
    <w:rsid w:val="00B3542B"/>
    <w:rsid w:val="00B518EA"/>
    <w:rsid w:val="00B528F1"/>
    <w:rsid w:val="00B71859"/>
    <w:rsid w:val="00B745EE"/>
    <w:rsid w:val="00B74EFF"/>
    <w:rsid w:val="00B77D7B"/>
    <w:rsid w:val="00B84D85"/>
    <w:rsid w:val="00B901E6"/>
    <w:rsid w:val="00B92F53"/>
    <w:rsid w:val="00B95F75"/>
    <w:rsid w:val="00B962C0"/>
    <w:rsid w:val="00BC0DEC"/>
    <w:rsid w:val="00BC75C4"/>
    <w:rsid w:val="00BD08A8"/>
    <w:rsid w:val="00BD34A3"/>
    <w:rsid w:val="00BD357F"/>
    <w:rsid w:val="00BE043F"/>
    <w:rsid w:val="00BF71BB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5735"/>
    <w:rsid w:val="00CB0C0A"/>
    <w:rsid w:val="00CB3215"/>
    <w:rsid w:val="00CB4A48"/>
    <w:rsid w:val="00CB6F1A"/>
    <w:rsid w:val="00CC5F6B"/>
    <w:rsid w:val="00CC6FC9"/>
    <w:rsid w:val="00CD0CAC"/>
    <w:rsid w:val="00CD1C34"/>
    <w:rsid w:val="00CD3D50"/>
    <w:rsid w:val="00CE337A"/>
    <w:rsid w:val="00CE5191"/>
    <w:rsid w:val="00CF15AB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74E46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2E2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A7C0F"/>
    <w:rsid w:val="00FB2944"/>
    <w:rsid w:val="00FC73F9"/>
    <w:rsid w:val="00FC7576"/>
    <w:rsid w:val="00FD6AC9"/>
    <w:rsid w:val="00FE224E"/>
    <w:rsid w:val="00FF22A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2E630D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6A47E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cert.com/script/index_oc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key.com.ua/ua/setificate-one-office/text=3&amp;page=1?lang=u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zo.gov.ua/ca-registry-details?type=0&amp;id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key.com.u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00B4-5F1B-4DB2-9E06-688F1B5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2019-02-11T12:41:00Z</cp:lastPrinted>
  <dcterms:created xsi:type="dcterms:W3CDTF">2019-06-12T06:05:00Z</dcterms:created>
  <dcterms:modified xsi:type="dcterms:W3CDTF">2019-06-12T06:06:00Z</dcterms:modified>
</cp:coreProperties>
</file>